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color w:val="1F3864"/>
          <w:rFonts w:ascii="Calibri" w:hAnsi="Calibri"/>
          <w:sz w:val="32"/>
        </w:rPr>
        <w:t xml:space="preserve">Informe de correcciones — Tesis Alvarez / Llerena</w:t>
      </w:r>
    </w:p>
    <w:p>
      <w:pPr>
        <w:spacing w:after="120"/>
        <w:jc w:val="both"/>
      </w:pPr>
      <w:r>
        <w:rPr>
          <w:rFonts w:ascii="Calibri" w:hAnsi="Calibri"/>
          <w:sz w:val="22"/>
        </w:rPr>
        <w:t xml:space="preserve">Documento corregido: </w:t>
      </w:r>
      <w:r>
        <w:rPr>
          <w:b/>
          <w:rFonts w:ascii="Calibri" w:hAnsi="Calibri"/>
          <w:sz w:val="22"/>
        </w:rPr>
        <w:t xml:space="preserve">VER6-Tesis-ALVAREZ-LLERENA-corregida.docx</w:t>
      </w:r>
      <w:r>
        <w:rPr>
          <w:rFonts w:ascii="Calibri" w:hAnsi="Calibri"/>
          <w:sz w:val="22"/>
        </w:rPr>
        <w:t xml:space="preserve">. Parte de «VER. 5 Tesis. ALVAREZ-LLERENA rev sept.docx» enviada por el Dr. Luis M. Jara el 20/09/2026.</w:t>
      </w:r>
    </w:p>
    <w:p>
      <w:pPr>
        <w:spacing w:after="120"/>
        <w:jc w:val="both"/>
      </w:pPr>
      <w:r>
        <w:rPr>
          <w:rFonts w:ascii="Calibri" w:hAnsi="Calibri"/>
          <w:sz w:val="22"/>
        </w:rPr>
        <w:t xml:space="preserve">Se aceptaron los </w:t>
      </w:r>
      <w:r>
        <w:rPr>
          <w:b/>
          <w:rFonts w:ascii="Calibri" w:hAnsi="Calibri"/>
          <w:sz w:val="22"/>
        </w:rPr>
        <w:t xml:space="preserve">27 borrados y 25 inserciones</w:t>
      </w:r>
      <w:r>
        <w:rPr>
          <w:rFonts w:ascii="Calibri" w:hAnsi="Calibri"/>
          <w:sz w:val="22"/>
        </w:rPr>
        <w:t xml:space="preserve"> que el profesor dejó con control de cambios, se retiraron sus </w:t>
      </w:r>
      <w:r>
        <w:rPr>
          <w:b/>
          <w:rFonts w:ascii="Calibri" w:hAnsi="Calibri"/>
          <w:sz w:val="22"/>
        </w:rPr>
        <w:t xml:space="preserve">31 comentarios</w:t>
      </w:r>
      <w:r>
        <w:rPr>
          <w:rFonts w:ascii="Calibri" w:hAnsi="Calibri"/>
          <w:sz w:val="22"/>
        </w:rPr>
        <w:t xml:space="preserve"> y se aplicaron las correcciones de abajo. El documento no contiene marcas de revisión ni comentarios.</w:t>
      </w:r>
    </w:p>
    <w:p>
      <w:pPr>
        <w:spacing w:after="120"/>
        <w:jc w:val="both"/>
      </w:pPr>
      <w:r>
        <w:rPr>
          <w:b/>
          <w:rFonts w:ascii="Calibri" w:hAnsi="Calibri"/>
          <w:sz w:val="22"/>
        </w:rPr>
        <w:t xml:space="preserve">Antes de enviar nada, busquen el resaltado amarillo.</w:t>
      </w:r>
      <w:r>
        <w:rPr>
          <w:rFonts w:ascii="Calibri" w:hAnsi="Calibri"/>
          <w:sz w:val="22"/>
        </w:rPr>
        <w:t xml:space="preserve"> Hay tres frases en Materiales y Métodos con un «[COMPLETAR …]» resaltado: son afirmaciones sobre cómo ustedes trabajaron que yo no puedo saber desde el documento (cómo eligieron el registro cuando un paciente tuvo varias consultas, qué textos usaron como algoritmo diagnóstico, y con qué criterio se asignó cada paciente a un solo grupo de enfermedad). Completen el hueco, quiten el corchete y el resaltado.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32"/>
        </w:rPr>
        <w:t xml:space="preserve">1. Comentarios atendidos (26 de 31)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26"/>
        </w:rPr>
        <w:t xml:space="preserve">Resumen y Abstract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#3 «Colocar cuáles».</w:t>
      </w:r>
      <w:r>
        <w:rPr>
          <w:rFonts w:ascii="Calibri" w:hAnsi="Calibri"/>
          <w:sz w:val="22"/>
        </w:rPr>
        <w:t xml:space="preserve"> Se listan los grupos: «(infecciosa, neoplásica, renal/urinaria, digestiva y endocrina)».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 «Especificar cuáles variables».</w:t>
      </w:r>
      <w:r>
        <w:rPr>
          <w:rFonts w:ascii="Calibri" w:hAnsi="Calibri"/>
          <w:sz w:val="22"/>
        </w:rPr>
        <w:t xml:space="preserve"> «…las asociaciones de cada alteración laboratorial con la especie, el grupo etario, el sexo y la categoría racial se evaluaron con…».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#9 Abstract.</w:t>
      </w:r>
      <w:r>
        <w:rPr>
          <w:rFonts w:ascii="Calibri" w:hAnsi="Calibri"/>
          <w:sz w:val="22"/>
        </w:rPr>
        <w:t xml:space="preserve"> Realineado con el Resumen ya corregido: contexto local, lista de grupos, variables de asociación, retirado «with a significance level of p &lt; 0.05» (el profesor lo borró en el Resumen), 85.4 → 85.3 %.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26"/>
        </w:rPr>
        <w:t xml:space="preserve">Materiales y métodos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#10 Unidad de análisis.</w:t>
      </w:r>
      <w:r>
        <w:rPr>
          <w:rFonts w:ascii="Calibri" w:hAnsi="Calibri"/>
          <w:sz w:val="22"/>
        </w:rPr>
        <w:t xml:space="preserve"> Párrafo nuevo en «Criterios de inclusión y exclusión». </w:t>
      </w:r>
      <w:r>
        <w:rPr>
          <w:b/>
          <w:rFonts w:ascii="Calibri" w:hAnsi="Calibri"/>
          <w:sz w:val="22"/>
        </w:rPr>
        <w:t xml:space="preserve">Resaltado: falta el criterio de selección</w:t>
      </w:r>
      <w:r>
        <w:rPr>
          <w:rFonts w:ascii="Calibri" w:hAnsi="Calibri"/>
          <w:sz w:val="22"/>
        </w:rPr>
        <w:t xml:space="preserve"> cuando un paciente tuvo varias consultas.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#11 «Se recolectaron las siguientes variables…».</w:t>
      </w:r>
      <w:r>
        <w:rPr>
          <w:rFonts w:ascii="Calibri" w:hAnsi="Calibri"/>
          <w:sz w:val="22"/>
        </w:rPr>
        <w:t xml:space="preserve"> Reescrito con la lista completa y «(Anexo 1)» al final.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#13 Algoritmos diagnósticos.</w:t>
      </w:r>
      <w:r>
        <w:rPr>
          <w:rFonts w:ascii="Calibri" w:hAnsi="Calibri"/>
          <w:sz w:val="22"/>
        </w:rPr>
        <w:t xml:space="preserve"> Añadida la frase que el profesor propuso. </w:t>
      </w:r>
      <w:r>
        <w:rPr>
          <w:b/>
          <w:rFonts w:ascii="Calibri" w:hAnsi="Calibri"/>
          <w:sz w:val="22"/>
        </w:rPr>
        <w:t xml:space="preserve">Resaltado: falta poner los textos que realmente consultaron</w:t>
      </w:r>
      <w:r>
        <w:rPr>
          <w:rFonts w:ascii="Calibri" w:hAnsi="Calibri"/>
          <w:sz w:val="22"/>
        </w:rPr>
        <w:t xml:space="preserve"> (dejé como ejemplo Ettinger et al. 2017 y Nelson y Couto 2019, que ya están en la bibliografía).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#17 «¿Referencia?»</w:t>
      </w:r>
      <w:r>
        <w:rPr>
          <w:rFonts w:ascii="Calibri" w:hAnsi="Calibri"/>
          <w:sz w:val="22"/>
        </w:rPr>
        <w:t xml:space="preserve"> para la regla del 20 % de casillas: se citó </w:t>
      </w:r>
      <w:r>
        <w:rPr>
          <w:b/>
          <w:rFonts w:ascii="Calibri" w:hAnsi="Calibri"/>
          <w:sz w:val="22"/>
        </w:rPr>
        <w:t xml:space="preserve">Cochran (1954)</w:t>
      </w:r>
      <w:r>
        <w:rPr>
          <w:rFonts w:ascii="Calibri" w:hAnsi="Calibri"/>
          <w:sz w:val="22"/>
        </w:rPr>
        <w:t xml:space="preserve"> y se añadió a la bibliografía entre Cianciolo y Conroy.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#80 «¿Se estarían repitiendo datos del grupo infeccioso?»</w:t>
      </w:r>
      <w:r>
        <w:rPr>
          <w:rFonts w:ascii="Calibri" w:hAnsi="Calibri"/>
          <w:sz w:val="22"/>
        </w:rPr>
        <w:t xml:space="preserve"> No: en la Tabla 3 los cinco grupos suman exactamente 477, así que ningún paciente está en dos grupos. Se dejó dicho en Métodos que los grupos son mutuamente excluyentes. </w:t>
      </w:r>
      <w:r>
        <w:rPr>
          <w:b/>
          <w:rFonts w:ascii="Calibri" w:hAnsi="Calibri"/>
          <w:sz w:val="22"/>
        </w:rPr>
        <w:t xml:space="preserve">Resaltado: falta el criterio</w:t>
      </w:r>
      <w:r>
        <w:rPr>
          <w:rFonts w:ascii="Calibri" w:hAnsi="Calibri"/>
          <w:sz w:val="22"/>
        </w:rPr>
        <w:t xml:space="preserve"> con que asignaron cada paciente a un solo grupo.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26"/>
        </w:rPr>
        <w:t xml:space="preserve">Resultados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#27 Subpoblaciones.</w:t>
      </w:r>
      <w:r>
        <w:rPr>
          <w:rFonts w:ascii="Calibri" w:hAnsi="Calibri"/>
          <w:sz w:val="22"/>
        </w:rPr>
        <w:t xml:space="preserve"> Párrafo inicial nuevo con la cadena 1665 → 1607 con signos → 826 con diagnóstico → 821 con ambos → 477 en los cinco grupos → 349 en otros.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#28 «.3 es».</w:t>
      </w:r>
      <w:r>
        <w:rPr>
          <w:rFonts w:ascii="Calibri" w:hAnsi="Calibri"/>
          <w:sz w:val="22"/>
        </w:rPr>
        <w:t xml:space="preserve"> 1421/1665 = 85.3 %. Corregido en Resumen, Abstract, Resultados y Conclusiones. En el mismo párrafo había tres redondeos más igual de mal: machos 53.2 → 53.3, hembras 46.8 → 46.7, mestizos 43.9 → 43.8.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#29 «¿Todas las alteraciones a la vez o cualquiera?»</w:t>
      </w:r>
      <w:r>
        <w:rPr>
          <w:rFonts w:ascii="Calibri" w:hAnsi="Calibri"/>
          <w:sz w:val="22"/>
        </w:rPr>
        <w:t xml:space="preserve"> Cualquiera (así está el criterio de inclusión). Los títulos de las Tablas 3, 4 y 5 dicen ahora «bioquímicas, hematológicas </w:t>
      </w:r>
      <w:r>
        <w:rPr>
          <w:b/>
          <w:rFonts w:ascii="Calibri" w:hAnsi="Calibri"/>
          <w:sz w:val="22"/>
        </w:rPr>
        <w:t xml:space="preserve">y/o</w:t>
      </w:r>
      <w:r>
        <w:rPr>
          <w:rFonts w:ascii="Calibri" w:hAnsi="Calibri"/>
          <w:sz w:val="22"/>
        </w:rPr>
        <w:t xml:space="preserve"> urinarias». Los de las Tablas 1 y 2 se dejaron con «y» porque ahí la frase enumera las categorías de hallazgos reportados, no un requisito de selección.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#33, #76, #78 Chi-cuadrado.</w:t>
      </w:r>
      <w:r>
        <w:rPr>
          <w:rFonts w:ascii="Calibri" w:hAnsi="Calibri"/>
          <w:sz w:val="22"/>
        </w:rPr>
        <w:t xml:space="preserve"> Las cuatro menciones significativas ahora declaran la asociación además del valor p; la única no significativa (leucocitosis en enfermedad infecciosa) se declara sin valor de p.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#40 «¿Es correcto 7.8 %?»</w:t>
      </w:r>
      <w:r>
        <w:rPr>
          <w:rFonts w:ascii="Calibri" w:hAnsi="Calibri"/>
          <w:sz w:val="22"/>
        </w:rPr>
        <w:t xml:space="preserve"> No: Tabla 7, ALP alta en caninos es 8/45 = </w:t>
      </w:r>
      <w:r>
        <w:rPr>
          <w:b/>
          <w:rFonts w:ascii="Calibri" w:hAnsi="Calibri"/>
          <w:sz w:val="22"/>
        </w:rPr>
        <w:t xml:space="preserve">17.8 %</w:t>
      </w:r>
      <w:r>
        <w:rPr>
          <w:rFonts w:ascii="Calibri" w:hAnsi="Calibri"/>
          <w:sz w:val="22"/>
        </w:rP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#74 Tabla 9.</w:t>
      </w:r>
      <w:r>
        <w:rPr>
          <w:rFonts w:ascii="Calibri" w:hAnsi="Calibri"/>
          <w:sz w:val="22"/>
        </w:rPr>
        <w:t xml:space="preserve"> Quitadas las filas «Sin alteraciones»; la tabla queda en tres filas. La disgregación por tipo de alteración no se puede hacer sin la base (ver punto 3).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#75 «¿Por qué no en gatos?»</w:t>
      </w:r>
      <w:r>
        <w:rPr>
          <w:rFonts w:ascii="Calibri" w:hAnsi="Calibri"/>
          <w:sz w:val="22"/>
        </w:rPr>
        <w:t xml:space="preserve"> Se dice en el propio párrafo: ningún felino tuvo diagnóstico endocrino confirmado.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#77 Gráfico 3.</w:t>
      </w:r>
      <w:r>
        <w:rPr>
          <w:rFonts w:ascii="Calibri" w:hAnsi="Calibri"/>
          <w:sz w:val="22"/>
        </w:rPr>
        <w:t xml:space="preserve"> Regenerado sin las barras «Total 100 %».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#79 «¿Es correcto 295?»</w:t>
      </w:r>
      <w:r>
        <w:rPr>
          <w:rFonts w:ascii="Calibri" w:hAnsi="Calibri"/>
          <w:sz w:val="22"/>
        </w:rPr>
        <w:t xml:space="preserve"> No: caninos con enfermedad infecciosa son 205 → </w:t>
      </w:r>
      <w:r>
        <w:rPr>
          <w:b/>
          <w:rFonts w:ascii="Calibri" w:hAnsi="Calibri"/>
          <w:sz w:val="22"/>
        </w:rPr>
        <w:t xml:space="preserve">96.6 % (198/205)</w:t>
      </w:r>
      <w:r>
        <w:rPr>
          <w:rFonts w:ascii="Calibri" w:hAnsi="Calibri"/>
          <w:sz w:val="22"/>
        </w:rP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#83 «En la tabla aparecen otros valores».</w:t>
      </w:r>
      <w:r>
        <w:rPr>
          <w:rFonts w:ascii="Calibri" w:hAnsi="Calibri"/>
          <w:sz w:val="22"/>
        </w:rPr>
        <w:t xml:space="preserve"> El texto decía creatinina 92.3 % (72/78) y urea 12.8 % (65/78); la Tabla 14 dice 6/78 y 10/78, y cuadra con los desgloses por especie (5+1, 7+3). Texto corregido a </w:t>
      </w:r>
      <w:r>
        <w:rPr>
          <w:b/>
          <w:rFonts w:ascii="Calibri" w:hAnsi="Calibri"/>
          <w:sz w:val="22"/>
        </w:rPr>
        <w:t xml:space="preserve">7.7 % (6/78)</w:t>
      </w:r>
      <w:r>
        <w:rPr>
          <w:rFonts w:ascii="Calibri" w:hAnsi="Calibri"/>
          <w:sz w:val="22"/>
        </w:rPr>
        <w:t xml:space="preserve"> y </w:t>
      </w:r>
      <w:r>
        <w:rPr>
          <w:b/>
          <w:rFonts w:ascii="Calibri" w:hAnsi="Calibri"/>
          <w:sz w:val="22"/>
        </w:rPr>
        <w:t xml:space="preserve">12.8 % (10/78)</w:t>
      </w:r>
      <w:r>
        <w:rPr>
          <w:rFonts w:ascii="Calibri" w:hAnsi="Calibri"/>
          <w:sz w:val="22"/>
        </w:rPr>
        <w:t xml:space="preserve">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Nota de la Tabla 10 (no comentado, pero del mismo tipo que #33).</w:t>
      </w:r>
      <w:r>
        <w:rPr>
          <w:rFonts w:ascii="Calibri" w:hAnsi="Calibri"/>
          <w:sz w:val="22"/>
        </w:rPr>
        <w:t xml:space="preserve"> Decía «p &lt; 0.001» para las cuatro filas marcadas; recalculado, la hipoalbuminemia da p = 0.030. La nota dice ahora «p &lt; 0.05», como las demás.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26"/>
        </w:rPr>
        <w:t xml:space="preserve">Discusión y Conclusiones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#87 Mesura.</w:t>
      </w:r>
      <w:r>
        <w:rPr>
          <w:rFonts w:ascii="Calibri" w:hAnsi="Calibri"/>
          <w:sz w:val="22"/>
        </w:rPr>
        <w:t xml:space="preserve"> (a) Ya no se habla de «elevación aislada de la GGT»; se dice «mayor frecuencia» y se aclara que no se sabe si ALT y ALP estaban normales en los mismos pacientes. (b) «Ausencia de significancia ≠ equivalencia»: las dos frases que decían «proporciones comparables» / «operan de manera similar» se reescribieron para no afirmar equivalencia. (c) «Aumentaron progresivamente» → «frecuencias crecientes», precisando que la prueba de asociación no demuestra tendencia; también en Conclusiones. (d) La comparación con tres felinos muestra los conteos (3/3 frente a 7/75) y se declara exploratoria.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#92 «Explicaciones como posibilidad».</w:t>
      </w:r>
      <w:r>
        <w:rPr>
          <w:rFonts w:ascii="Calibri" w:hAnsi="Calibri"/>
          <w:sz w:val="22"/>
        </w:rPr>
        <w:t xml:space="preserve"> Revisé toda la Discusión, no solo la frase marcada: 13 frases pasaron de afirmación a posibilidad («se explica por» → «podría explicarse por», «lo que refleja» → «lo que podría reflejar», «resulta atribuible» → «podría atribuirse», «resultado esperable» → «podría relacionarse», etc.). Las que ya decían «podría», «sugiere» o «compatible con» se dejaron.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#93 Hipercolesterolemia.</w:t>
      </w:r>
      <w:r>
        <w:rPr>
          <w:rFonts w:ascii="Calibri" w:hAnsi="Calibri"/>
          <w:sz w:val="22"/>
        </w:rPr>
        <w:t xml:space="preserve"> Tiene razón: en la Tabla 16 va 0.0 → 1.4 → 4.5 %. Movida a la lista de las que aumentan.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#107 Conclusiones.</w:t>
      </w:r>
      <w:r>
        <w:rPr>
          <w:rFonts w:ascii="Calibri" w:hAnsi="Calibri"/>
          <w:sz w:val="22"/>
        </w:rPr>
        <w:t xml:space="preserve"> Eliminadas «expresión clínica más silenciosa» y «respuesta inflamatoria más marcada frente a procesos infecciosos, principalmente bacterianos y transmitidos por vectores». Corregido el título «CONCLUSIIONES».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26"/>
        </w:rPr>
        <w:t xml:space="preserve">Anexo 1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#438 (parcial).</w:t>
      </w:r>
      <w:r>
        <w:rPr>
          <w:rFonts w:ascii="Calibri" w:hAnsi="Calibri"/>
          <w:sz w:val="22"/>
        </w:rPr>
        <w:t xml:space="preserve"> La nota de la Tabla 1 decía «color, aspecto </w:t>
      </w:r>
      <w:r>
        <w:rPr>
          <w:b/>
          <w:rFonts w:ascii="Calibri" w:hAnsi="Calibri"/>
          <w:sz w:val="22"/>
        </w:rPr>
        <w:t xml:space="preserve">y</w:t>
      </w:r>
      <w:r>
        <w:rPr>
          <w:rFonts w:ascii="Calibri" w:hAnsi="Calibri"/>
          <w:sz w:val="22"/>
        </w:rPr>
        <w:t xml:space="preserve"> densidad» y las demás «</w:t>
      </w:r>
      <w:r>
        <w:rPr>
          <w:b/>
          <w:rFonts w:ascii="Calibri" w:hAnsi="Calibri"/>
          <w:sz w:val="22"/>
        </w:rPr>
        <w:t xml:space="preserve">y/o</w:t>
      </w:r>
      <w:r>
        <w:rPr>
          <w:rFonts w:ascii="Calibri" w:hAnsi="Calibri"/>
          <w:sz w:val="22"/>
        </w:rPr>
        <w:t xml:space="preserve">»; unificada. La discordancia de fondo con el Anexo («de 2 a más parámetros») está en el punto 3.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32"/>
        </w:rPr>
        <w:t xml:space="preserve">2. Lo que revisé además de los comentarios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Todos los porcentajes narrativos</w:t>
      </w:r>
      <w:r>
        <w:rPr>
          <w:rFonts w:ascii="Calibri" w:hAnsi="Calibri"/>
          <w:sz w:val="22"/>
        </w:rPr>
        <w:t xml:space="preserve"> «X % (a/b)»: 9 discordantes, todos corregidos (los ya citados más 57.8/42.2 → 57.7/42.3 y 70.9 → 71.0 %).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N frente a % en las 22 tablas</w:t>
      </w:r>
      <w:r>
        <w:rPr>
          <w:rFonts w:ascii="Calibri" w:hAnsi="Calibri"/>
          <w:sz w:val="22"/>
        </w:rPr>
        <w:t xml:space="preserve">: 2 discordancias (Tabla 7 ALP alta; Tabla 4 «Parasitaria» 14/252 = 5.6 %, no 5.5 %). Corregidas.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Sumas caninos + felinos = total</w:t>
      </w:r>
      <w:r>
        <w:rPr>
          <w:rFonts w:ascii="Calibri" w:hAnsi="Calibri"/>
          <w:sz w:val="22"/>
        </w:rPr>
        <w:t xml:space="preserve">: solo falla la que el profesor vio en la Tabla 13 (punto 3).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Los 212 contrastes de las 19 tablas analíticas</w:t>
      </w:r>
      <w:r>
        <w:rPr>
          <w:rFonts w:ascii="Calibri" w:hAnsi="Calibri"/>
          <w:sz w:val="22"/>
        </w:rPr>
        <w:t xml:space="preserve">, recalculados con Chi-cuadrado y Fisher/Fisher-Freeman-Halton exactos aplicando la regla del 20 %: </w:t>
      </w:r>
      <w:r>
        <w:rPr>
          <w:b/>
          <w:rFonts w:ascii="Calibri" w:hAnsi="Calibri"/>
          <w:sz w:val="22"/>
        </w:rPr>
        <w:t xml:space="preserve">ningún asterisco sobra ni falta</w:t>
      </w:r>
      <w:r>
        <w:rPr>
          <w:rFonts w:ascii="Calibri" w:hAnsi="Calibri"/>
          <w:sz w:val="22"/>
        </w:rPr>
        <w:t xml:space="preserve">.</w:t>
      </w:r>
    </w:p>
    <w:p>
      <w:pPr>
        <w:spacing w:after="120"/>
        <w:jc w:val="both"/>
      </w:pPr>
      <w:r>
        <w:rPr>
          <w:rFonts w:ascii="Calibri" w:hAnsi="Calibri"/>
          <w:sz w:val="22"/>
        </w:rPr>
        <w:t xml:space="preserve">Sobre los dos Excel que me pasaron: son libros de verificación de p armados desde los N publicados, no la base por paciente. Y «Verificacion_estadistica_valores_p.xlsx» reporta 19 discrepancias que </w:t>
      </w:r>
      <w:r>
        <w:rPr>
          <w:b/>
          <w:rFonts w:ascii="Calibri" w:hAnsi="Calibri"/>
          <w:sz w:val="22"/>
        </w:rPr>
        <w:t xml:space="preserve">no existen</w:t>
      </w:r>
      <w:r>
        <w:rPr>
          <w:rFonts w:ascii="Calibri" w:hAnsi="Calibri"/>
          <w:sz w:val="22"/>
        </w:rPr>
        <w:t xml:space="preserve">: tomó los «</w:t>
      </w:r>
      <w:r>
        <w:rPr>
          <w:b/>
          <w:rFonts w:ascii="Calibri" w:hAnsi="Calibri"/>
          <w:sz w:val="22"/>
        </w:rPr>
        <w:t xml:space="preserve">» de las Tablas 1 y 2 como marcas de significancia (son llamadas a la segunda nota) y dio por no marcadas filas que sí llevan asterisco. No lo usen como lista de correcciones.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32"/>
        </w:rPr>
        <w:t xml:space="preserve">3. Pendiente: necesita la base de datos por paciente</w:t>
      </w:r>
    </w:p>
    <w:p>
      <w:pPr>
        <w:spacing w:after="120"/>
        <w:jc w:val="both"/>
      </w:pPr>
      <w:r>
        <w:rPr>
          <w:rFonts w:ascii="Calibri" w:hAnsi="Calibri"/>
          <w:sz w:val="22"/>
        </w:rPr>
        <w:t xml:space="preserve">Hace falta el Excel de trabajo con una fila por paciente (el armado desde Vetpraxis). Cinco puntos: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#26 Denominadores</w:t>
      </w:r>
      <w:r>
        <w:rPr>
          <w:rFonts w:ascii="Calibri" w:hAnsi="Calibri"/>
          <w:sz w:val="22"/>
        </w:rPr>
        <w:t xml:space="preserve"> (el de fondo). Cada frecuencia debe ir sobre los pacientes a quienes </w:t>
      </w:r>
      <w:r>
        <w:rPr>
          <w:b/>
          <w:rFonts w:ascii="Calibri" w:hAnsi="Calibri"/>
          <w:sz w:val="22"/>
        </w:rPr>
        <w:t xml:space="preserve">sí</w:t>
      </w:r>
      <w:r>
        <w:rPr>
          <w:rFonts w:ascii="Calibri" w:hAnsi="Calibri"/>
          <w:sz w:val="22"/>
        </w:rPr>
        <w:t xml:space="preserve"> se les midió ese analito, no sobre todo el grupo. En SPSS: para cada analito, excluir del denominador los «0 = SD» del Anexo 1. Afecta sobre todo al grupo endocrino. Al rehacerlo cambian porcentajes y valores de p de las Tablas 7 a 21, y hay que decir en Métodos que el denominador es el número de pacientes con esa determinación disponible.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#82 Tabla 13, leucocitosis.</w:t>
      </w:r>
      <w:r>
        <w:rPr>
          <w:rFonts w:ascii="Calibri" w:hAnsi="Calibri"/>
          <w:sz w:val="22"/>
        </w:rPr>
        <w:t xml:space="preserve"> Caninos 19 (47.5 %) + felinos 0 ≠ total 14 (31.8 %). Las dos lecturas son coherentes por sí solas (19/40 y 14/44); hay que contar. Si son 19 → total 19 (43.2 %) y corregir también el texto anterior a la tabla; si son 14 → caninos 14 (35.0 %) y el texto ya está bien.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#434 / #435 / #437 Cortes de anemia.</w:t>
      </w:r>
      <w:r>
        <w:rPr>
          <w:rFonts w:ascii="Calibri" w:hAnsi="Calibri"/>
          <w:sz w:val="22"/>
        </w:rPr>
        <w:t xml:space="preserve"> (a) Caninos: normal 36–50 % (Latimer) se solapa con anemia leve 30–37 % (Tvedten): 36 y 37 % caen en ambas. (b) Felinos: normal 29–45 % y leve 20–26 %: 27 y 28 % no caen en ninguna. (c) «HCT &gt; 37 % = sin anemia» solo cubre caninos. Hay que decidir qué corte se aplicó de verdad y, según eso, reclasificar y recalcular Tabla 6, Tabla 8, Gráfico 3 y las filas de anemia de las Tablas 16–21.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#436 Porcentajes relativos del leucograma.</w:t>
      </w:r>
      <w:r>
        <w:rPr>
          <w:rFonts w:ascii="Calibri" w:hAnsi="Calibri"/>
          <w:sz w:val="22"/>
        </w:rPr>
        <w:t xml:space="preserve"> Si neutrofilia, linfopenia, etc. se clasificaron con el recuento absoluto, borrar del Anexo 1 el bloque de rangos relativos (neutrófilos 60–77 %, etc.).</w:t>
      </w:r>
    </w:p>
    <w:p>
      <w:pPr>
        <w:numPr>
          <w:ilvl w:val="0"/>
          <w:numId w:val="1"/>
        </w:numPr>
        <w:spacing w:after="60"/>
        <w:jc w:val="both"/>
      </w:pPr>
      <w:r>
        <w:rPr>
          <w:b/>
          <w:rFonts w:ascii="Calibri" w:hAnsi="Calibri"/>
          <w:sz w:val="22"/>
        </w:rPr>
        <w:t xml:space="preserve">#438 «De 2 a más» frente a «y/o».</w:t>
      </w:r>
      <w:r>
        <w:rPr>
          <w:rFonts w:ascii="Calibri" w:hAnsi="Calibri"/>
          <w:sz w:val="22"/>
        </w:rPr>
        <w:t xml:space="preserve"> El Anexo define urianálisis alterado como «de 2 a más parámetros»; las notas de tabla dicen «y/o» (uno o más). Decidir cuál se aplicó: si fue uno o más, cambia el Anexo; si fue dos o más, cambian las nueve notas y hay que recalcular todo el urianálisis.</w:t>
      </w:r>
    </w:p>
    <w:p>
      <w:pPr>
        <w:spacing w:before="240" w:after="120"/>
      </w:pPr>
      <w:r>
        <w:rPr>
          <w:b/>
          <w:color w:val="1F3864"/>
          <w:rFonts w:ascii="Calibri" w:hAnsi="Calibri"/>
          <w:sz w:val="32"/>
        </w:rPr>
        <w:t xml:space="preserve">4. Siguiente paso</w:t>
      </w:r>
    </w:p>
    <w:p>
      <w:pPr>
        <w:spacing w:after="120"/>
        <w:jc w:val="both"/>
      </w:pPr>
      <w:r>
        <w:rPr>
          <w:rFonts w:ascii="Calibri" w:hAnsi="Calibri"/>
          <w:sz w:val="22"/>
        </w:rPr>
        <w:t xml:space="preserve">Según el correo, ya no hace falta devolvérselo al profesor: solicitar jurado a </w:t>
      </w:r>
      <w:r>
        <w:rPr>
          <w:b/>
          <w:rFonts w:ascii="Calibri" w:hAnsi="Calibri"/>
          <w:sz w:val="22"/>
        </w:rPr>
        <w:t xml:space="preserve">favez.opt@oficinas-upch.pe</w:t>
      </w:r>
      <w:r>
        <w:rPr>
          <w:rFonts w:ascii="Calibri" w:hAnsi="Calibri"/>
          <w:sz w:val="22"/>
        </w:rPr>
        <w:t xml:space="preserve"> con copia a </w:t>
      </w:r>
      <w:r>
        <w:rPr>
          <w:b/>
          <w:rFonts w:ascii="Calibri" w:hAnsi="Calibri"/>
          <w:sz w:val="22"/>
        </w:rPr>
        <w:t xml:space="preserve">favez.pregrado@oficinas-upch.pe</w:t>
      </w:r>
      <w:r>
        <w:rPr>
          <w:rFonts w:ascii="Calibri" w:hAnsi="Calibri"/>
          <w:sz w:val="22"/>
        </w:rPr>
        <w:t xml:space="preserve">, y preparar las diapositivas (máximo 25). Recomiendo cerrar #26 antes de las diapositivas, porque puede mover cifras.</w:t>
      </w:r>
    </w:p>
    <w:sectPr>
      <w:pgSz w:w="11906" w:h="16838"/>
      <w:pgMar w:top="1134" w:right="1134" w:bottom="1134" w:left="1134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—"/>
      <w:pPr>
        <w:ind w:left="36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Num" Type="http://schemas.openxmlformats.org/officeDocument/2006/relationships/numbering" Target="numbering.xml"/></Relationships>
</file>